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255"/>
        <w:gridCol w:w="532"/>
      </w:tblGrid>
      <w:tr w:rsidR="000C5B3C" w14:paraId="6E708284" w14:textId="77777777" w:rsidTr="002C4097">
        <w:trPr>
          <w:trHeight w:val="1401"/>
        </w:trPr>
        <w:tc>
          <w:tcPr>
            <w:tcW w:w="4843" w:type="dxa"/>
            <w:tcMar>
              <w:top w:w="624" w:type="dxa"/>
              <w:left w:w="0" w:type="dxa"/>
              <w:bottom w:w="0" w:type="dxa"/>
              <w:right w:w="0" w:type="dxa"/>
            </w:tcMar>
          </w:tcPr>
          <w:tbl>
            <w:tblPr>
              <w:tblW w:w="8255" w:type="dxa"/>
              <w:tblLook w:val="04A0" w:firstRow="1" w:lastRow="0" w:firstColumn="1" w:lastColumn="0" w:noHBand="0" w:noVBand="1"/>
            </w:tblPr>
            <w:tblGrid>
              <w:gridCol w:w="4108"/>
              <w:gridCol w:w="4147"/>
            </w:tblGrid>
            <w:tr w:rsidR="00C57E61" w:rsidRPr="00C57E61" w14:paraId="15A3D230" w14:textId="77777777" w:rsidTr="00C57E61">
              <w:trPr>
                <w:trHeight w:val="891"/>
              </w:trPr>
              <w:tc>
                <w:tcPr>
                  <w:tcW w:w="4108" w:type="dxa"/>
                  <w:tcMar>
                    <w:top w:w="624" w:type="dxa"/>
                    <w:left w:w="0" w:type="dxa"/>
                    <w:bottom w:w="0" w:type="dxa"/>
                    <w:right w:w="0" w:type="dxa"/>
                  </w:tcMar>
                  <w:hideMark/>
                </w:tcPr>
                <w:p w14:paraId="6737BE0C" w14:textId="121CD6FE" w:rsidR="00C57E61" w:rsidRPr="00C57E61" w:rsidRDefault="00BB49C0" w:rsidP="00C57E61">
                  <w:pPr>
                    <w:jc w:val="both"/>
                  </w:pPr>
                  <w:r>
                    <w:t>Riigi Tugiteenuste Keskus</w:t>
                  </w:r>
                </w:p>
              </w:tc>
              <w:tc>
                <w:tcPr>
                  <w:tcW w:w="4147" w:type="dxa"/>
                  <w:tcMar>
                    <w:top w:w="0" w:type="dxa"/>
                    <w:left w:w="0" w:type="dxa"/>
                    <w:bottom w:w="0" w:type="dxa"/>
                    <w:right w:w="0" w:type="dxa"/>
                  </w:tcMar>
                  <w:hideMark/>
                </w:tcPr>
                <w:p w14:paraId="6082D149" w14:textId="77777777" w:rsidR="00C57E61" w:rsidRPr="00C57E61" w:rsidRDefault="00C57E61" w:rsidP="00C57E61">
                  <w:pPr>
                    <w:jc w:val="both"/>
                  </w:pPr>
                  <w:r w:rsidRPr="00C57E61">
                    <w:t xml:space="preserve"> kuupäev digitaalallkirjas nr </w:t>
                  </w:r>
                </w:p>
              </w:tc>
            </w:tr>
            <w:tr w:rsidR="00C57E61" w:rsidRPr="00C57E61" w14:paraId="0AB11BE1" w14:textId="77777777" w:rsidTr="00C57E61">
              <w:trPr>
                <w:trHeight w:val="891"/>
              </w:trPr>
              <w:tc>
                <w:tcPr>
                  <w:tcW w:w="4108" w:type="dxa"/>
                  <w:tcMar>
                    <w:top w:w="624" w:type="dxa"/>
                    <w:left w:w="0" w:type="dxa"/>
                    <w:bottom w:w="0" w:type="dxa"/>
                    <w:right w:w="0" w:type="dxa"/>
                  </w:tcMar>
                </w:tcPr>
                <w:p w14:paraId="41C8CC8A" w14:textId="77777777" w:rsidR="00C57E61" w:rsidRPr="00C57E61" w:rsidRDefault="00C57E61" w:rsidP="00C57E61">
                  <w:pPr>
                    <w:jc w:val="both"/>
                  </w:pPr>
                </w:p>
              </w:tc>
              <w:tc>
                <w:tcPr>
                  <w:tcW w:w="4147" w:type="dxa"/>
                  <w:tcMar>
                    <w:top w:w="0" w:type="dxa"/>
                    <w:left w:w="0" w:type="dxa"/>
                    <w:bottom w:w="0" w:type="dxa"/>
                    <w:right w:w="0" w:type="dxa"/>
                  </w:tcMar>
                </w:tcPr>
                <w:p w14:paraId="4F5BAAB7" w14:textId="77777777" w:rsidR="00C57E61" w:rsidRPr="00C57E61" w:rsidRDefault="00C57E61" w:rsidP="00C57E61">
                  <w:pPr>
                    <w:jc w:val="both"/>
                  </w:pPr>
                </w:p>
              </w:tc>
            </w:tr>
          </w:tbl>
          <w:p w14:paraId="2E427E1B" w14:textId="77777777" w:rsidR="0031338F" w:rsidRDefault="0031338F" w:rsidP="0031338F">
            <w:pPr>
              <w:rPr>
                <w:b/>
                <w:bCs/>
              </w:rPr>
            </w:pPr>
            <w:r w:rsidRPr="00F23D33">
              <w:rPr>
                <w:b/>
                <w:bCs/>
              </w:rPr>
              <w:t>Ettepanek</w:t>
            </w:r>
            <w:r>
              <w:rPr>
                <w:b/>
                <w:bCs/>
              </w:rPr>
              <w:t xml:space="preserve"> projekti tähtaja pikendamiseks ja</w:t>
            </w:r>
            <w:r w:rsidRPr="00F23D33">
              <w:rPr>
                <w:b/>
                <w:bCs/>
              </w:rPr>
              <w:t xml:space="preserve"> otsuse muutmiseks</w:t>
            </w:r>
          </w:p>
          <w:p w14:paraId="01DA84F8" w14:textId="77777777" w:rsidR="00C57E61" w:rsidRPr="00C57E61" w:rsidRDefault="00C57E61" w:rsidP="00C57E61">
            <w:pPr>
              <w:jc w:val="both"/>
            </w:pPr>
          </w:p>
          <w:p w14:paraId="098E3E4E" w14:textId="77777777" w:rsidR="0031338F" w:rsidRDefault="0031338F" w:rsidP="0031338F">
            <w:pPr>
              <w:jc w:val="both"/>
            </w:pPr>
            <w:r w:rsidRPr="00F23D33">
              <w:t>Haridus- ja teadusministri 16.11.2023 määruse nr 43 „Kaasava hariduse põhimõtete rakendamine perioodil 2021–2027 (edaspidi meetme määrus) § 18 lõigete 1 ja 2, perioodi 2021-2027 Euroopa Liidu ühtekuuluvus- ja siseturvalisuspoliitika fondide rakendamise seaduse (edaspidi ÜSS) § 8 lg 2 punkti 2 ning Vabariigi Valitsuse 12.05.2022 määruse nr 55 „Perioodi 2021-2027 Euroopa Liidu ühtekuuluvus- ja siseturvalisuspoliitika fondide rakenduskavade vahendite andmise ja kasutamise üldised tingimused“ § 8 lõigete 1 ja 4 alusel, otsustas Riigi Tugiteenuste Keskus rahuldada Põhja-Pärnumaa Vallavalitsus (registrikood 77000234, aadress Pärnu-Paide  mnt 2 87701 Vändra alev, Põhja-Pärnumaa vald; 30.12.2024 esitatud toetuse taotlus registreerimisnumbriga 2021-2027.4.08.24-0133 projektile „Kaasaegse õpikeskkonna loomine läbi interaktiivsete tahvlite soetamise hariduslike erivajadustega õpilaste toetamiseks ja kaasava hariduse edendamiseks Põhja-Pärnumaa valla koolides“</w:t>
            </w:r>
            <w:r>
              <w:t>.</w:t>
            </w:r>
          </w:p>
          <w:p w14:paraId="061DEBE2" w14:textId="77777777" w:rsidR="0031338F" w:rsidRPr="00F23D33" w:rsidRDefault="0031338F" w:rsidP="0031338F">
            <w:pPr>
              <w:jc w:val="both"/>
            </w:pPr>
          </w:p>
          <w:p w14:paraId="30F8F01B" w14:textId="77777777" w:rsidR="0031338F" w:rsidRDefault="0031338F" w:rsidP="0031338F">
            <w:pPr>
              <w:jc w:val="both"/>
            </w:pPr>
            <w:r w:rsidRPr="00F23D33">
              <w:t>Põhja-Pärnumaa Vallavalitsus korraldas Riigihangete keskkon</w:t>
            </w:r>
            <w:r>
              <w:t>n</w:t>
            </w:r>
            <w:r w:rsidRPr="00F23D33">
              <w:t>a kaudu lihthanke „</w:t>
            </w:r>
            <w:hyperlink r:id="rId7" w:anchor="/procurement/8834844" w:history="1">
              <w:r w:rsidRPr="00F23D33">
                <w:rPr>
                  <w:rStyle w:val="Hyperlink"/>
                </w:rPr>
                <w:t>Interaktiivsete tahvlite ostmine Põhja-Pärnumaa valla koolidele</w:t>
              </w:r>
            </w:hyperlink>
            <w:r w:rsidRPr="00F23D33">
              <w:t xml:space="preserve"> (Viitenumber: 295182). Hankes osales 11 pakkujat ning odavaimaks pakkujaks osutus </w:t>
            </w:r>
            <w:proofErr w:type="spellStart"/>
            <w:r w:rsidRPr="00F23D33">
              <w:t>Hansab</w:t>
            </w:r>
            <w:proofErr w:type="spellEnd"/>
            <w:r w:rsidRPr="00F23D33">
              <w:t xml:space="preserve"> AS (Pakkumus: 567012). Võitja pakkumuse summa on 25 947,29 (koos käibemaksuga 31</w:t>
            </w:r>
            <w:r>
              <w:t> </w:t>
            </w:r>
            <w:r w:rsidRPr="00F23D33">
              <w:t>655</w:t>
            </w:r>
            <w:r>
              <w:t>,</w:t>
            </w:r>
            <w:r w:rsidRPr="00F23D33">
              <w:t xml:space="preserve">70 eurot). </w:t>
            </w:r>
            <w:r>
              <w:t xml:space="preserve"> Lihthanke kaudu soetatud </w:t>
            </w:r>
            <w:r w:rsidRPr="006C25F3">
              <w:t>15 interaktiivset seinatahvlit</w:t>
            </w:r>
            <w:r>
              <w:t xml:space="preserve"> koos lisavarustusega</w:t>
            </w:r>
            <w:r w:rsidRPr="006C25F3">
              <w:t xml:space="preserve"> on </w:t>
            </w:r>
            <w:proofErr w:type="spellStart"/>
            <w:r>
              <w:t>Hansab</w:t>
            </w:r>
            <w:proofErr w:type="spellEnd"/>
            <w:r>
              <w:t xml:space="preserve"> AS sõlmitud lepingu kohaselt paigaldatud ning </w:t>
            </w:r>
            <w:r w:rsidRPr="006C25F3">
              <w:t>kasutusel ja tagasiside õpetajatelt ning õpilastelt on olnud positiivne. Seadmete kasutamine on näidanud, et:</w:t>
            </w:r>
          </w:p>
          <w:p w14:paraId="1F92B84A" w14:textId="77777777" w:rsidR="0031338F" w:rsidRPr="006C25F3" w:rsidRDefault="0031338F" w:rsidP="0031338F">
            <w:pPr>
              <w:jc w:val="both"/>
            </w:pPr>
          </w:p>
          <w:p w14:paraId="5920175F" w14:textId="77777777" w:rsidR="0031338F" w:rsidRDefault="0031338F" w:rsidP="0031338F">
            <w:pPr>
              <w:numPr>
                <w:ilvl w:val="0"/>
                <w:numId w:val="15"/>
              </w:numPr>
              <w:spacing w:after="160" w:line="259" w:lineRule="auto"/>
              <w:jc w:val="both"/>
            </w:pPr>
            <w:r w:rsidRPr="00CE4C6B">
              <w:t>Interaktiivsed seinatahvlid suurendavad õpilaste kaasatust ja õpimotivatsiooni, eriti nende seas, kelle õpistiil või erivajadus eeldab visuaalseid ja praktilisi õppemeetodeid.</w:t>
            </w:r>
          </w:p>
          <w:p w14:paraId="79FBB1E7" w14:textId="77777777" w:rsidR="0031338F" w:rsidRDefault="0031338F" w:rsidP="00B401AD">
            <w:pPr>
              <w:numPr>
                <w:ilvl w:val="0"/>
                <w:numId w:val="15"/>
              </w:numPr>
              <w:spacing w:after="160" w:line="259" w:lineRule="auto"/>
              <w:jc w:val="both"/>
            </w:pPr>
            <w:r w:rsidRPr="00CE4C6B">
              <w:t>Interaktiivsed seinatahvlid võimaldavad õpetajatel kohandada õpitegevusi vastavalt õpilaste erinevatele õpivajadustele ja -stiilidele, toetades nii diferentseeritud ja kaasavat õpet.</w:t>
            </w:r>
          </w:p>
          <w:p w14:paraId="4D2E9DB2" w14:textId="7D748412" w:rsidR="0031338F" w:rsidRDefault="0031338F" w:rsidP="0031338F">
            <w:pPr>
              <w:spacing w:after="160" w:line="259" w:lineRule="auto"/>
              <w:jc w:val="both"/>
            </w:pPr>
            <w:r>
              <w:lastRenderedPageBreak/>
              <w:t xml:space="preserve">Põhja-Pärnumaa Vallavalitsus taotles esmakordsel rahastustaotluse esitamisel 15 interaktiivset seinatahvlit koos lisavarustusega. Meede nägi ette vähemat kolme hinnapakkumise eelnevat võtmist ning </w:t>
            </w:r>
            <w:r w:rsidRPr="00294F77">
              <w:t>nende hinnapakkumiste alusel eelarve ning taotluse koostamist. Vallavalitsus</w:t>
            </w:r>
            <w:r>
              <w:t xml:space="preserve"> võttis enne taotluse esitamist need pakkumised ning koostas nende alusel taotluseelarve. Arvesse võeti ka meetme rahalist mahtu ning omavalitsuse omaosaluse võimekust. Samuti oli aluseks koolide enda koostatud kaasava hariduse analüüs, millest nähtus, et Tootsi Lasteaed- Põhikool, Pärnu-Jaagupi Põhikooli ja Vändra Gümnaasiumi  interaktiivsete töövahendite vajaduste hulk oli oluliselt suurem, kui taotluse eelarvesse hinnapakkumiste alusel mahtunuks. Koostades taotlusmaterjale ning analüüsides koolide vajaduste, meetme korras ettenähtud eelnevate hinnapakkumiste võtmise nõuet ning rahastuse määra, pidime vähendama taotluses interaktiivsete tahvlite ja lisavarustuse hulka, arvestades sealjuures asjaoluga, et see ei kata kooli tegelikke vajadusi. Selgitame: </w:t>
            </w:r>
          </w:p>
          <w:p w14:paraId="10648C82" w14:textId="3D1A8913" w:rsidR="0031338F" w:rsidRPr="003F6D6A" w:rsidRDefault="0031338F" w:rsidP="0031338F">
            <w:pPr>
              <w:jc w:val="both"/>
            </w:pPr>
            <w:r>
              <w:t xml:space="preserve">Tootsi koolis on </w:t>
            </w:r>
            <w:r w:rsidRPr="00726354">
              <w:t>kokku</w:t>
            </w:r>
            <w:r>
              <w:t xml:space="preserve"> </w:t>
            </w:r>
            <w:r w:rsidRPr="00726354">
              <w:t>68 õpilast</w:t>
            </w:r>
            <w:r>
              <w:t xml:space="preserve">. </w:t>
            </w:r>
            <w:r w:rsidRPr="00726354">
              <w:t xml:space="preserve">3 </w:t>
            </w:r>
            <w:proofErr w:type="spellStart"/>
            <w:r w:rsidRPr="00726354">
              <w:t>eritoe</w:t>
            </w:r>
            <w:proofErr w:type="spellEnd"/>
            <w:r>
              <w:t xml:space="preserve">, </w:t>
            </w:r>
            <w:r w:rsidRPr="00726354">
              <w:t>4 tõhustatud toe</w:t>
            </w:r>
            <w:r>
              <w:t xml:space="preserve">, </w:t>
            </w:r>
            <w:r w:rsidRPr="00726354">
              <w:t xml:space="preserve">18 </w:t>
            </w:r>
            <w:proofErr w:type="spellStart"/>
            <w:r w:rsidRPr="00726354">
              <w:t>üldtoe</w:t>
            </w:r>
            <w:proofErr w:type="spellEnd"/>
            <w:r>
              <w:t xml:space="preserve"> õpilast.  V</w:t>
            </w:r>
            <w:r w:rsidRPr="00726354">
              <w:t>äikeklasse</w:t>
            </w:r>
            <w:r>
              <w:t xml:space="preserve"> on 3, i</w:t>
            </w:r>
            <w:r w:rsidRPr="00726354">
              <w:t>ndividuaalselt õpetatakse põhiaineid</w:t>
            </w:r>
            <w:r>
              <w:t xml:space="preserve"> </w:t>
            </w:r>
            <w:r w:rsidRPr="00726354">
              <w:t>7 õpilasele</w:t>
            </w:r>
            <w:r>
              <w:t xml:space="preserve">. </w:t>
            </w:r>
            <w:r w:rsidRPr="00726354">
              <w:t>Eriklassi vajavad</w:t>
            </w:r>
            <w:r>
              <w:t xml:space="preserve"> </w:t>
            </w:r>
            <w:r w:rsidRPr="00726354">
              <w:t>7 õpilast, kes hetkel õpivad eriklassis (meil väikeklassis). Lisaks neile vajaksid veel 4 õpilast kohta eriklassis (meil väikeklassis).</w:t>
            </w:r>
            <w:r>
              <w:t xml:space="preserve"> Kaasava hariduse analüüsist selgus, et </w:t>
            </w:r>
            <w:r w:rsidRPr="003F6D6A">
              <w:t xml:space="preserve">Tootsis on tegelik vajadus 9 </w:t>
            </w:r>
            <w:r>
              <w:t>seinatahvli järele. Vajadused klassifitseeriti prio</w:t>
            </w:r>
            <w:r>
              <w:t>r</w:t>
            </w:r>
            <w:r>
              <w:t>iteetsuse järgi. V</w:t>
            </w:r>
            <w:r w:rsidRPr="003F6D6A">
              <w:t xml:space="preserve">äga kõrge </w:t>
            </w:r>
            <w:r>
              <w:t>prioriteetsusega</w:t>
            </w:r>
            <w:r w:rsidRPr="003F6D6A">
              <w:t xml:space="preserve"> on 5 klassiruumi, 4 </w:t>
            </w:r>
            <w:r>
              <w:t>õppe</w:t>
            </w:r>
            <w:r w:rsidRPr="003F6D6A">
              <w:t xml:space="preserve">ruumi </w:t>
            </w:r>
            <w:r>
              <w:t xml:space="preserve">on </w:t>
            </w:r>
            <w:r w:rsidRPr="003F6D6A">
              <w:t>kõrge prioriteetsusega. 5-st kõrge prioriteetsusega klassiruumist 3 on väikeklassid, kus projekti toel on tagatud kaks seinatahvlit, kuid ülejäänud on ikka katmata. Ülejäänud nelja kõrge prioriteetsusega klasside vahel toimub liikumine ehk lapsed liiguvad õppes klasside vahel. Seega tegelik vajadus on lisa</w:t>
            </w:r>
            <w:r>
              <w:t>ks</w:t>
            </w:r>
            <w:r w:rsidRPr="003F6D6A">
              <w:t xml:space="preserve"> kolm tahvlit. Klasside vahel ei ole võimalik ka seinatahvlit kärudega liigutada, sest et klassid on erinevatel korrusel. Tootsi Lasteaed-Põhikoolis on erivajadustega õpilaste arv kasvutrendis. Alates 2025/26 õppeaastast avati uus väikeklass, lisaks on koolis õpilasi, kelle toe vajaduse välja selgitamise protsess on Rajaleidjas pooleli. Teadaolevalt on ka 2026/27 õppeaastal kooli tulemas kolm koolipikendust saanud õpilast. Tootsi kooli väikeklasside õpe toimub liitklassides ning oskusaineid õpitakse tavaklassis,</w:t>
            </w:r>
            <w:r>
              <w:t xml:space="preserve"> seega</w:t>
            </w:r>
            <w:r w:rsidRPr="003F6D6A">
              <w:t xml:space="preserve"> liiguvad erivajadustega õpilased erinevate klassiruumide vahel. Klassis nr 25 toimub osalise</w:t>
            </w:r>
            <w:r>
              <w:t>l</w:t>
            </w:r>
            <w:r w:rsidRPr="003F6D6A">
              <w:t xml:space="preserve">t HEV-õpilaste õpe, samuti </w:t>
            </w:r>
            <w:proofErr w:type="spellStart"/>
            <w:r w:rsidRPr="003F6D6A">
              <w:t>õpiabi</w:t>
            </w:r>
            <w:proofErr w:type="spellEnd"/>
            <w:r w:rsidRPr="003F6D6A">
              <w:t xml:space="preserve"> tunnid ning pikapäevarühm, kus saavad tuge individuaalse õppekava järgi õppivad õpilased. Interaktiivsete tahvlite kasutamine õppetundides aitab õpetatavat sisu paremini visualiseerida, mis toetab HEV-õpilaste õppimist märkimisväärselt. Samuti võimaldab nutitahvli kasutamine kiiresti liitklassis erinevate teemade vahel liikuda. Ühtlasi aitab interaktiivse tahvli kasutamine muuta õppetunde atraktiivsemaks ning motiveerib seeläbi õpilasi paremaid õppetulemusi saavutama.</w:t>
            </w:r>
          </w:p>
          <w:p w14:paraId="7C6F1EB4" w14:textId="77777777" w:rsidR="0031338F" w:rsidRPr="003F6D6A" w:rsidRDefault="0031338F" w:rsidP="0031338F">
            <w:pPr>
              <w:jc w:val="both"/>
            </w:pPr>
            <w:r>
              <w:t>Pärnu-Jaagupi</w:t>
            </w:r>
            <w:r w:rsidRPr="00726354">
              <w:t xml:space="preserve"> Põhikoolis</w:t>
            </w:r>
            <w:r>
              <w:t xml:space="preserve"> on </w:t>
            </w:r>
            <w:r w:rsidRPr="00726354">
              <w:t>kokku 264 õpilast</w:t>
            </w:r>
            <w:r>
              <w:t>.</w:t>
            </w:r>
            <w:r w:rsidRPr="00726354">
              <w:t xml:space="preserve"> 5 </w:t>
            </w:r>
            <w:proofErr w:type="spellStart"/>
            <w:r w:rsidRPr="00726354">
              <w:t>eritoe</w:t>
            </w:r>
            <w:proofErr w:type="spellEnd"/>
            <w:r w:rsidRPr="00726354">
              <w:t xml:space="preserve">, 20 tõhustatud toe ja 75 </w:t>
            </w:r>
            <w:proofErr w:type="spellStart"/>
            <w:r w:rsidRPr="00726354">
              <w:t>üldtoe</w:t>
            </w:r>
            <w:proofErr w:type="spellEnd"/>
            <w:r w:rsidRPr="00726354">
              <w:t xml:space="preserve"> õpilast. Väikeklasse on koolis 7.</w:t>
            </w:r>
            <w:r>
              <w:t xml:space="preserve"> </w:t>
            </w:r>
            <w:r w:rsidRPr="00726354">
              <w:t xml:space="preserve">Individuaalselt õpetatakse põhiaineid 11 õpilasele. Eriklassi vajavad 16 </w:t>
            </w:r>
            <w:r>
              <w:t>õ</w:t>
            </w:r>
            <w:r w:rsidRPr="00726354">
              <w:t>pilast</w:t>
            </w:r>
            <w:r>
              <w:t xml:space="preserve">. </w:t>
            </w:r>
            <w:r w:rsidRPr="003F6D6A">
              <w:t xml:space="preserve">Pärnu- Jaagupis </w:t>
            </w:r>
            <w:r>
              <w:t xml:space="preserve">selgus kaasava hariduse analüüsist, et kokku oli </w:t>
            </w:r>
            <w:r w:rsidRPr="003F6D6A">
              <w:t>vajadus 8 seinatahvli järele. Nendest 5 on väga kõrge prioriteetsusega</w:t>
            </w:r>
            <w:r>
              <w:t xml:space="preserve">. Need viis lisasime esialgsesse taotlusesse lähtuvalt väga kõrgest prioriteetsusest. </w:t>
            </w:r>
            <w:r w:rsidRPr="003F6D6A">
              <w:t xml:space="preserve">Ülejäänud on kõrge prioriteetsusega muusikaõpetuse, kunstiõpetuse ja loodusainete klassid, kus vahel õpilased on liikumises. Pärnu-Jaagupi koolis  on HEV õpilasi ligi 25% õpilastest.  </w:t>
            </w:r>
            <w:proofErr w:type="spellStart"/>
            <w:r w:rsidRPr="003F6D6A">
              <w:t>Eritoe</w:t>
            </w:r>
            <w:proofErr w:type="spellEnd"/>
            <w:r w:rsidRPr="003F6D6A">
              <w:t xml:space="preserve"> ja tõhustatud toe õpilasi õpetatakse eraldi väikerühmades põhiainetes. </w:t>
            </w:r>
            <w:r w:rsidRPr="003F6D6A">
              <w:lastRenderedPageBreak/>
              <w:t xml:space="preserve">Oskusainete tunnid ja keeleõppe tunnid toimuvad koos klassidega. Õpilased liiguvad väikegrupist klassi juurde ja vastupidi. Pärnu-Jaagupi koolis on aineklasside süsteem, seega iga klassi ruum vajab tehnikat, et täita õppekava nõudeid ja pakkuda õpilastele kvaliteetset õpikeskkonda ja õpetajale kvaliteetset ning tänapäevast töökeskkonda.  Praegu on osades klassides interaktiivsed </w:t>
            </w:r>
            <w:proofErr w:type="spellStart"/>
            <w:r w:rsidRPr="003F6D6A">
              <w:t>lähikuva</w:t>
            </w:r>
            <w:proofErr w:type="spellEnd"/>
            <w:r w:rsidRPr="003F6D6A">
              <w:t xml:space="preserve"> projektorid, mis ei vasta enam meie vajadustele. Kõrgust reguleerida ei saa, vaatenurk halb, pilt liialt ere/kontrastne (tänu valgele tahvlile)  ja väreleb (osad erivajadusega õpilased on tundlikud ja tajuvad seda), puutetundlikkus ei ole täpne ja sõltub päikesest, vajab kalibreerimist.</w:t>
            </w:r>
          </w:p>
          <w:p w14:paraId="4DF9EA88" w14:textId="77777777" w:rsidR="0031338F" w:rsidRPr="003F6D6A" w:rsidRDefault="0031338F" w:rsidP="0031338F">
            <w:pPr>
              <w:jc w:val="both"/>
            </w:pPr>
            <w:r>
              <w:t xml:space="preserve">Vändra Gümnaasiumis on </w:t>
            </w:r>
            <w:r w:rsidRPr="00BF4ABD">
              <w:t>318  õpilast</w:t>
            </w:r>
            <w:r>
              <w:t xml:space="preserve">. </w:t>
            </w:r>
            <w:r w:rsidRPr="00BF4ABD">
              <w:t xml:space="preserve">8 (+1 õpilane, kellel koolivälise nõustamiskomisjoni otsuse rakendamine lapsevanema avalduse alusel peatatud) </w:t>
            </w:r>
            <w:r>
              <w:t xml:space="preserve"> </w:t>
            </w:r>
            <w:proofErr w:type="spellStart"/>
            <w:r w:rsidRPr="00BF4ABD">
              <w:t>eritoe</w:t>
            </w:r>
            <w:proofErr w:type="spellEnd"/>
            <w:r>
              <w:t xml:space="preserve">, </w:t>
            </w:r>
            <w:r w:rsidRPr="00BF4ABD">
              <w:t>7</w:t>
            </w:r>
            <w:r>
              <w:t xml:space="preserve"> </w:t>
            </w:r>
            <w:r w:rsidRPr="00BF4ABD">
              <w:t>tõhustatud toe ja 81</w:t>
            </w:r>
            <w:r>
              <w:t xml:space="preserve"> </w:t>
            </w:r>
            <w:proofErr w:type="spellStart"/>
            <w:r w:rsidRPr="00BF4ABD">
              <w:t>üldtoe</w:t>
            </w:r>
            <w:proofErr w:type="spellEnd"/>
            <w:r w:rsidRPr="00BF4ABD">
              <w:t xml:space="preserve"> õpilast. Väikeklasse on koolis 7</w:t>
            </w:r>
            <w:r>
              <w:t xml:space="preserve">. </w:t>
            </w:r>
            <w:r w:rsidRPr="00BF4ABD">
              <w:t>Individuaalselt õpetatakse põhiaineid  </w:t>
            </w:r>
            <w:r>
              <w:t>4</w:t>
            </w:r>
            <w:r w:rsidRPr="00BF4ABD">
              <w:t> õpilasele. Eriklassi vajavad</w:t>
            </w:r>
            <w:r>
              <w:t xml:space="preserve"> </w:t>
            </w:r>
            <w:r w:rsidRPr="00BF4ABD">
              <w:t>2. õpilast</w:t>
            </w:r>
            <w:r>
              <w:t xml:space="preserve"> </w:t>
            </w:r>
            <w:r w:rsidRPr="00BF4ABD">
              <w:t>(hetkel nn suure klassi juures)</w:t>
            </w:r>
            <w:r>
              <w:t xml:space="preserve"> </w:t>
            </w:r>
            <w:r w:rsidRPr="003F6D6A">
              <w:t xml:space="preserve">Vändra Gümnaasiumis on 14-ne seinatahvli vajadus. Väga kõrge prioriteetsusega nendest 8 klassi ja 6 klassi kõrge prioriteetsusega. Nendest kuuest klassist </w:t>
            </w:r>
            <w:r>
              <w:t xml:space="preserve">on </w:t>
            </w:r>
            <w:r w:rsidRPr="003F6D6A">
              <w:t xml:space="preserve">üks õpperuum spetsiifiliselt HEV-õpilaste tarvis. HEV-õpilased õpivad ka muudes klassides peale oma koduklassi, ehk siis ülejäänud 5 klassis. Kaasava hariduse põhimõtteid järgides õpib nii tõhustatud kui kooli üldise toe raames igas klassis ka erineva </w:t>
            </w:r>
            <w:proofErr w:type="spellStart"/>
            <w:r w:rsidRPr="003F6D6A">
              <w:t>õpitoe</w:t>
            </w:r>
            <w:proofErr w:type="spellEnd"/>
            <w:r w:rsidRPr="003F6D6A">
              <w:t xml:space="preserve"> vajadusega õpilasi, kellele tagatakse antud vahenditega õppimiseks vajalikud tingimused.</w:t>
            </w:r>
          </w:p>
          <w:p w14:paraId="07A74916" w14:textId="77777777" w:rsidR="0031338F" w:rsidRPr="003F6D6A" w:rsidRDefault="0031338F" w:rsidP="0031338F">
            <w:pPr>
              <w:jc w:val="both"/>
            </w:pPr>
            <w:r w:rsidRPr="003F6D6A">
              <w:t>S</w:t>
            </w:r>
            <w:r w:rsidRPr="006C25F3">
              <w:t xml:space="preserve">eadmete paigutus katab hetkel vaid osa kooli klassiruumidest, mis tähendab, et kaasava hariduse põhimõtted ei saa järjepidevalt rakenduda kõigis </w:t>
            </w:r>
            <w:r w:rsidRPr="003F6D6A">
              <w:t>ruumides</w:t>
            </w:r>
            <w:r w:rsidRPr="006C25F3">
              <w:t>.</w:t>
            </w:r>
            <w:r w:rsidRPr="003F6D6A">
              <w:t xml:space="preserve"> </w:t>
            </w:r>
          </w:p>
          <w:p w14:paraId="37AB9720" w14:textId="77777777" w:rsidR="0031338F" w:rsidRPr="004D39F4" w:rsidRDefault="0031338F" w:rsidP="0031338F">
            <w:pPr>
              <w:jc w:val="both"/>
            </w:pPr>
            <w:r w:rsidRPr="004D39F4">
              <w:t>Kaasava hariduse põhimõtete kohaselt peab igal õpilasel, sh erituge vajaval lapsel, olema võimalus osaleda õppetöös võrdselt oma eakaaslastega. Interaktiivsed seinatahvlid on osutunud oluliseks töövahendiks, mis toetavad aktiivõpet, õpilaste kaasatust, võimaldades õpetajatel kohandada õppesisu vastavalt iga lapse individuaalsetele vajadustele.</w:t>
            </w:r>
            <w:r w:rsidRPr="003F6D6A">
              <w:t xml:space="preserve"> </w:t>
            </w:r>
          </w:p>
          <w:p w14:paraId="4CD18110" w14:textId="77777777" w:rsidR="0031338F" w:rsidRPr="004D39F4" w:rsidRDefault="0031338F" w:rsidP="0031338F">
            <w:pPr>
              <w:jc w:val="both"/>
            </w:pPr>
            <w:r w:rsidRPr="004D39F4">
              <w:t xml:space="preserve">Eelnevalt soetatud 15 interaktiivset seinatahvlit on igapäevases kasutuses ja on tõestanud oma tõhusust õppeprotsessi toetamisel. Samas on praktika näidanud, et nende seadmete arv ei ole piisav olukorras, kus erituge vajavad õpilased liiguvad erinevate klasside </w:t>
            </w:r>
            <w:r>
              <w:t>vahel</w:t>
            </w:r>
            <w:r w:rsidRPr="004D39F4">
              <w:t>, mitte ei õpi püsivalt ühes ruumis.</w:t>
            </w:r>
          </w:p>
          <w:p w14:paraId="1C5125DF" w14:textId="77777777" w:rsidR="0031338F" w:rsidRPr="006C25F3" w:rsidRDefault="0031338F" w:rsidP="0031338F">
            <w:pPr>
              <w:jc w:val="both"/>
            </w:pPr>
            <w:r w:rsidRPr="004D39F4">
              <w:t>Sellises korralduses on vajalik, et igas klassiruumis, kus need õpilased osalevad õppetöös, oleks olemas võrreldavad võimalused interaktiivseks õppimiseks ja digitaalse õppevahendi kasutamiseks. Vastasel juhul tekib olukord, kus mõnes klassis on õppimine kaasaegsete vahenditega toetatud, teises aga mitte – see on vastuolus võrdse kohtlemise ja kaasava hariduse põhimõtetega.</w:t>
            </w:r>
          </w:p>
          <w:p w14:paraId="7026946E" w14:textId="77777777" w:rsidR="0031338F" w:rsidRPr="006C25F3" w:rsidRDefault="0031338F" w:rsidP="0031338F">
            <w:pPr>
              <w:jc w:val="both"/>
            </w:pPr>
            <w:r w:rsidRPr="006C25F3">
              <w:t xml:space="preserve">Täiendava </w:t>
            </w:r>
            <w:r>
              <w:t>12</w:t>
            </w:r>
            <w:r w:rsidRPr="006C25F3">
              <w:t xml:space="preserve"> interaktiivse seinatahvli soetamise eesmärk on tagada võrdne juurdepääs digitaalsele ja interaktiivsele õpikeskkonnale kõigis</w:t>
            </w:r>
            <w:r>
              <w:t xml:space="preserve"> väga kõrge ja kõrge prioriteetsusega õpperuumides </w:t>
            </w:r>
            <w:r w:rsidRPr="006C25F3">
              <w:t>ning laiendada kaasava hariduse põhimõtete rakend</w:t>
            </w:r>
            <w:r>
              <w:t xml:space="preserve">umist. </w:t>
            </w:r>
          </w:p>
          <w:p w14:paraId="1319378D" w14:textId="6E49D5C9" w:rsidR="0031338F" w:rsidRPr="00F23D33" w:rsidRDefault="0031338F" w:rsidP="0031338F">
            <w:pPr>
              <w:jc w:val="both"/>
            </w:pPr>
            <w:r>
              <w:t>Nii nagu eelnevalt selgitasime, s</w:t>
            </w:r>
            <w:r w:rsidRPr="00F23D33">
              <w:t>elleks, et püsida toetuse eelarve piires, planeeriti varasemate hinnapakkumiste põhjal soetada kolme kooli tarbeks kokku 15 interaktiivset seinatahvlit</w:t>
            </w:r>
            <w:r>
              <w:t>, mis kaasava hariduse analüüsi kohaselt oli väiksem hulk, kui tegelik vajadus</w:t>
            </w:r>
            <w:r w:rsidRPr="00F23D33">
              <w:t xml:space="preserve">. </w:t>
            </w:r>
            <w:r>
              <w:t xml:space="preserve">Vajadus on jätkuvalt aktuaalne ning hetkel on näha järgnevatel aastatel </w:t>
            </w:r>
            <w:r w:rsidR="00BB49C0">
              <w:t xml:space="preserve">ka </w:t>
            </w:r>
            <w:r>
              <w:t>HEV</w:t>
            </w:r>
            <w:r w:rsidR="00BB49C0">
              <w:t>-õpilaste</w:t>
            </w:r>
            <w:r>
              <w:t xml:space="preserve"> </w:t>
            </w:r>
            <w:r w:rsidR="00BB49C0">
              <w:t xml:space="preserve">osas </w:t>
            </w:r>
            <w:r>
              <w:t xml:space="preserve">kasvutrendi. </w:t>
            </w:r>
            <w:r w:rsidRPr="00F23D33">
              <w:t xml:space="preserve">Kuna hankepakkumus osutus oodatust soodsamaks ning eelarvesse tekkis </w:t>
            </w:r>
            <w:r>
              <w:t xml:space="preserve">lisaks </w:t>
            </w:r>
            <w:r w:rsidRPr="00F23D33">
              <w:t>märkimisväärne vaba jääk</w:t>
            </w:r>
            <w:r>
              <w:t xml:space="preserve"> ning tegelik seinatahvlite vajadus on kõrgem, kui meil oli võimalik taotlusesse algselt sisse kirjutada</w:t>
            </w:r>
            <w:r w:rsidRPr="00F23D33">
              <w:t>, teeb Põhja-Pärnumaa Vallavalitsus ettepaneku muuta lepingut poolte kokkuleppel järgmiselt:</w:t>
            </w:r>
          </w:p>
          <w:p w14:paraId="4974CBCD" w14:textId="77777777" w:rsidR="0031338F" w:rsidRPr="00F23D33" w:rsidRDefault="0031338F" w:rsidP="0031338F">
            <w:pPr>
              <w:pStyle w:val="ListParagraph"/>
              <w:numPr>
                <w:ilvl w:val="0"/>
                <w:numId w:val="14"/>
              </w:numPr>
              <w:spacing w:after="160" w:line="259" w:lineRule="auto"/>
              <w:jc w:val="both"/>
            </w:pPr>
            <w:r w:rsidRPr="00F23D33">
              <w:lastRenderedPageBreak/>
              <w:t xml:space="preserve">Taotleme </w:t>
            </w:r>
            <w:r>
              <w:t>kaheteistkümne</w:t>
            </w:r>
            <w:r w:rsidRPr="00F23D33">
              <w:t xml:space="preserve"> täiendava interaktiivse seinatahvli, kolme ratastel elektrilise põrandakäru ning  üheksa  seinastatiivi soetamiseks vabanenud jäägi arvelt. Hankepakkumise alusel (lisa) on eelarve maht muudatuse korral 30 440,27 eurot. </w:t>
            </w:r>
          </w:p>
          <w:p w14:paraId="20BB5E6D" w14:textId="77777777" w:rsidR="0031338F" w:rsidRPr="00F23D33" w:rsidRDefault="0031338F" w:rsidP="0031338F">
            <w:pPr>
              <w:pStyle w:val="ListParagraph"/>
              <w:numPr>
                <w:ilvl w:val="0"/>
                <w:numId w:val="14"/>
              </w:numPr>
              <w:spacing w:after="160" w:line="259" w:lineRule="auto"/>
              <w:jc w:val="both"/>
            </w:pPr>
            <w:r w:rsidRPr="00F23D33">
              <w:t xml:space="preserve">Sellest lähtuvalt taotleme projekti lõpptähtaja (31.10.2025) pikendamist </w:t>
            </w:r>
            <w:r>
              <w:t>nelja</w:t>
            </w:r>
            <w:r w:rsidRPr="00F23D33">
              <w:t xml:space="preserve"> kuu võrra. </w:t>
            </w:r>
          </w:p>
          <w:p w14:paraId="283032E9" w14:textId="323D35A8" w:rsidR="00C57E61" w:rsidRPr="00C57E61" w:rsidRDefault="00BB49C0" w:rsidP="00C57E61">
            <w:pPr>
              <w:jc w:val="both"/>
            </w:pPr>
            <w:r>
              <w:t>Positiivse otsuse korral tagab Põhja-Pärnumaa Vallavalitsus omaosaluse katte.</w:t>
            </w:r>
          </w:p>
          <w:p w14:paraId="6D9D8CCB" w14:textId="77777777" w:rsidR="00C57E61" w:rsidRDefault="00C57E61" w:rsidP="00C57E61">
            <w:pPr>
              <w:jc w:val="both"/>
            </w:pPr>
          </w:p>
          <w:p w14:paraId="41132529" w14:textId="77777777" w:rsidR="00C57E61" w:rsidRPr="00C57E61" w:rsidRDefault="00C57E61" w:rsidP="00C57E61">
            <w:pPr>
              <w:jc w:val="both"/>
            </w:pPr>
          </w:p>
          <w:p w14:paraId="030DDFD4" w14:textId="77777777" w:rsidR="00C57E61" w:rsidRPr="00C57E61" w:rsidRDefault="00C57E61" w:rsidP="00C57E61">
            <w:pPr>
              <w:jc w:val="both"/>
            </w:pPr>
          </w:p>
          <w:p w14:paraId="46506ADB" w14:textId="77777777" w:rsidR="00C57E61" w:rsidRDefault="00C57E61" w:rsidP="00C57E61">
            <w:pPr>
              <w:jc w:val="both"/>
            </w:pPr>
            <w:r w:rsidRPr="00C57E61">
              <w:t>Lugupidamisega</w:t>
            </w:r>
          </w:p>
          <w:p w14:paraId="665373DD" w14:textId="277AC0DC" w:rsidR="00BB49C0" w:rsidRDefault="00BB49C0" w:rsidP="00C57E61">
            <w:pPr>
              <w:jc w:val="both"/>
            </w:pPr>
            <w:r>
              <w:t>Madis Koit</w:t>
            </w:r>
          </w:p>
          <w:p w14:paraId="2543AB0B" w14:textId="7E162C16" w:rsidR="00BB49C0" w:rsidRPr="00C57E61" w:rsidRDefault="00BB49C0" w:rsidP="00C57E61">
            <w:pPr>
              <w:jc w:val="both"/>
            </w:pPr>
            <w:r>
              <w:t>vallavanem</w:t>
            </w:r>
          </w:p>
          <w:p w14:paraId="16203F29" w14:textId="77777777" w:rsidR="00C57E61" w:rsidRPr="00C57E61" w:rsidRDefault="00C57E61" w:rsidP="00C57E61">
            <w:pPr>
              <w:jc w:val="both"/>
            </w:pPr>
          </w:p>
          <w:p w14:paraId="6E23CC14" w14:textId="77777777" w:rsidR="00C57E61" w:rsidRPr="00C57E61" w:rsidRDefault="00C57E61" w:rsidP="00C57E61">
            <w:pPr>
              <w:jc w:val="both"/>
            </w:pPr>
            <w:r w:rsidRPr="00C57E61">
              <w:t>(allkirjastatud digitaalselt)</w:t>
            </w:r>
          </w:p>
          <w:p w14:paraId="6E590057" w14:textId="77777777" w:rsidR="00C57E61" w:rsidRPr="00C57E61" w:rsidRDefault="00C57E61" w:rsidP="00C57E61">
            <w:pPr>
              <w:jc w:val="both"/>
            </w:pPr>
          </w:p>
          <w:p w14:paraId="1E6D0716" w14:textId="67809C37" w:rsidR="008206D0" w:rsidRDefault="008206D0" w:rsidP="002C4097">
            <w:pPr>
              <w:jc w:val="both"/>
            </w:pPr>
          </w:p>
        </w:tc>
        <w:tc>
          <w:tcPr>
            <w:tcW w:w="3703" w:type="dxa"/>
            <w:tcMar>
              <w:top w:w="0" w:type="dxa"/>
              <w:left w:w="0" w:type="dxa"/>
              <w:bottom w:w="0" w:type="dxa"/>
              <w:right w:w="0" w:type="dxa"/>
            </w:tcMar>
          </w:tcPr>
          <w:p w14:paraId="57B5A464" w14:textId="14E8654A" w:rsidR="00650A24" w:rsidRPr="00650A24" w:rsidRDefault="00650A24" w:rsidP="008206D0">
            <w:pPr>
              <w:jc w:val="both"/>
            </w:pPr>
          </w:p>
        </w:tc>
      </w:tr>
    </w:tbl>
    <w:p w14:paraId="33BB7517" w14:textId="3217D006" w:rsidR="00A83471" w:rsidRPr="00F017CC" w:rsidRDefault="00A83471" w:rsidP="009B5112">
      <w:pPr>
        <w:rPr>
          <w:sz w:val="28"/>
          <w:szCs w:val="28"/>
        </w:rPr>
      </w:pPr>
    </w:p>
    <w:sectPr w:rsidR="00A83471" w:rsidRPr="00F017CC" w:rsidSect="00B15CF3">
      <w:footerReference w:type="default" r:id="rId8"/>
      <w:headerReference w:type="first" r:id="rId9"/>
      <w:footerReference w:type="first" r:id="rId10"/>
      <w:pgSz w:w="11906" w:h="16838" w:code="9"/>
      <w:pgMar w:top="1134" w:right="1134" w:bottom="1985" w:left="1985"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611F" w14:textId="77777777" w:rsidR="00F365ED" w:rsidRDefault="00F365ED">
      <w:r>
        <w:separator/>
      </w:r>
    </w:p>
  </w:endnote>
  <w:endnote w:type="continuationSeparator" w:id="0">
    <w:p w14:paraId="7DE0AC18" w14:textId="77777777" w:rsidR="00F365ED" w:rsidRDefault="00F3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64AC" w14:textId="77777777" w:rsidR="00D8291C" w:rsidRPr="00B15CF3" w:rsidRDefault="00D8291C">
    <w:pPr>
      <w:pStyle w:val="Footer"/>
      <w:rPr>
        <w:sz w:val="18"/>
      </w:rPr>
    </w:pPr>
    <w:r w:rsidRPr="00B15CF3">
      <w:rPr>
        <w:sz w:val="18"/>
      </w:rPr>
      <w:fldChar w:fldCharType="begin"/>
    </w:r>
    <w:r w:rsidRPr="00B15CF3">
      <w:rPr>
        <w:sz w:val="18"/>
      </w:rPr>
      <w:instrText xml:space="preserve"> PAGE   \* MERGEFORMAT </w:instrText>
    </w:r>
    <w:r w:rsidRPr="00B15CF3">
      <w:rPr>
        <w:sz w:val="18"/>
      </w:rPr>
      <w:fldChar w:fldCharType="separate"/>
    </w:r>
    <w:r w:rsidR="00F21276">
      <w:rPr>
        <w:noProof/>
        <w:sz w:val="18"/>
      </w:rPr>
      <w:t>2</w:t>
    </w:r>
    <w:r w:rsidRPr="00B15CF3">
      <w:rPr>
        <w:sz w:val="18"/>
      </w:rPr>
      <w:fldChar w:fldCharType="end"/>
    </w:r>
    <w:r w:rsidRPr="00B15CF3">
      <w:rPr>
        <w:sz w:val="18"/>
      </w:rPr>
      <w:t xml:space="preserve"> (</w:t>
    </w:r>
    <w:r w:rsidRPr="00B15CF3">
      <w:rPr>
        <w:sz w:val="18"/>
      </w:rPr>
      <w:fldChar w:fldCharType="begin"/>
    </w:r>
    <w:r w:rsidRPr="00B15CF3">
      <w:rPr>
        <w:sz w:val="18"/>
      </w:rPr>
      <w:instrText xml:space="preserve"> NUMPAGES   \* MERGEFORMAT </w:instrText>
    </w:r>
    <w:r w:rsidRPr="00B15CF3">
      <w:rPr>
        <w:sz w:val="18"/>
      </w:rPr>
      <w:fldChar w:fldCharType="separate"/>
    </w:r>
    <w:r w:rsidR="005D6C77">
      <w:rPr>
        <w:noProof/>
        <w:sz w:val="18"/>
      </w:rPr>
      <w:t>1</w:t>
    </w:r>
    <w:r w:rsidRPr="00B15CF3">
      <w:rPr>
        <w:sz w:val="18"/>
      </w:rPr>
      <w:fldChar w:fldCharType="end"/>
    </w:r>
    <w:r w:rsidRPr="00B15CF3">
      <w:rPr>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8967" w14:textId="77777777" w:rsidR="004C6BA0" w:rsidRDefault="004C6BA0" w:rsidP="004C6BA0">
    <w:pPr>
      <w:pStyle w:val="Footer"/>
      <w:tabs>
        <w:tab w:val="clear" w:pos="4536"/>
        <w:tab w:val="clear" w:pos="9072"/>
        <w:tab w:val="left" w:pos="3060"/>
        <w:tab w:val="left" w:pos="3960"/>
        <w:tab w:val="left" w:pos="6300"/>
      </w:tabs>
      <w:rPr>
        <w:sz w:val="18"/>
        <w:szCs w:val="20"/>
      </w:rPr>
    </w:pPr>
    <w:r w:rsidRPr="00666D8E">
      <w:rPr>
        <w:sz w:val="18"/>
        <w:szCs w:val="20"/>
      </w:rPr>
      <w:t>Pärnu-Paide mnt 2</w:t>
    </w:r>
    <w:r>
      <w:rPr>
        <w:sz w:val="18"/>
        <w:szCs w:val="20"/>
      </w:rPr>
      <w:t xml:space="preserve"> </w:t>
    </w:r>
    <w:r w:rsidRPr="00B15CF3">
      <w:rPr>
        <w:sz w:val="18"/>
        <w:szCs w:val="20"/>
      </w:rPr>
      <w:t xml:space="preserve">/ </w:t>
    </w:r>
    <w:r w:rsidRPr="00666D8E">
      <w:rPr>
        <w:sz w:val="18"/>
        <w:szCs w:val="20"/>
      </w:rPr>
      <w:t>Vändra alev</w:t>
    </w:r>
    <w:r>
      <w:rPr>
        <w:sz w:val="18"/>
        <w:szCs w:val="20"/>
      </w:rPr>
      <w:t xml:space="preserve"> </w:t>
    </w:r>
    <w:r w:rsidR="009A142C">
      <w:rPr>
        <w:sz w:val="18"/>
        <w:szCs w:val="20"/>
      </w:rPr>
      <w:t xml:space="preserve">/ </w:t>
    </w:r>
    <w:r w:rsidRPr="00666D8E">
      <w:rPr>
        <w:sz w:val="18"/>
        <w:szCs w:val="20"/>
      </w:rPr>
      <w:t>Põhja-Pärnumaa vald</w:t>
    </w:r>
    <w:r w:rsidR="009A142C">
      <w:rPr>
        <w:sz w:val="18"/>
        <w:szCs w:val="20"/>
      </w:rPr>
      <w:t>/ 87701 Pärnu maakond</w:t>
    </w:r>
  </w:p>
  <w:p w14:paraId="5AF6039E" w14:textId="7C1E1DA7" w:rsidR="004C6BA0" w:rsidRPr="00143FE1" w:rsidRDefault="004C6BA0" w:rsidP="00D8291C">
    <w:pPr>
      <w:pStyle w:val="Footer"/>
      <w:tabs>
        <w:tab w:val="clear" w:pos="4536"/>
        <w:tab w:val="clear" w:pos="9072"/>
        <w:tab w:val="left" w:pos="3060"/>
        <w:tab w:val="left" w:pos="3960"/>
        <w:tab w:val="left" w:pos="6300"/>
      </w:tabs>
      <w:rPr>
        <w:sz w:val="18"/>
        <w:szCs w:val="18"/>
      </w:rPr>
    </w:pPr>
    <w:r w:rsidRPr="00666D8E">
      <w:rPr>
        <w:sz w:val="18"/>
        <w:szCs w:val="20"/>
      </w:rPr>
      <w:t xml:space="preserve">+372 </w:t>
    </w:r>
    <w:r w:rsidR="007956C6">
      <w:rPr>
        <w:sz w:val="18"/>
        <w:szCs w:val="20"/>
      </w:rPr>
      <w:t>5333 8609</w:t>
    </w:r>
    <w:r>
      <w:rPr>
        <w:sz w:val="18"/>
        <w:szCs w:val="20"/>
      </w:rPr>
      <w:t xml:space="preserve"> </w:t>
    </w:r>
    <w:r w:rsidRPr="00B15CF3">
      <w:rPr>
        <w:sz w:val="18"/>
        <w:szCs w:val="20"/>
      </w:rPr>
      <w:t xml:space="preserve">/ </w:t>
    </w:r>
    <w:r w:rsidRPr="00666D8E">
      <w:rPr>
        <w:sz w:val="18"/>
        <w:szCs w:val="20"/>
      </w:rPr>
      <w:t>vald@pparnumaa.ee</w:t>
    </w:r>
    <w:r>
      <w:rPr>
        <w:sz w:val="18"/>
        <w:szCs w:val="20"/>
      </w:rPr>
      <w:t xml:space="preserve"> </w:t>
    </w:r>
    <w:r w:rsidRPr="00B15CF3">
      <w:rPr>
        <w:sz w:val="18"/>
        <w:szCs w:val="20"/>
      </w:rPr>
      <w:t xml:space="preserve">/ </w:t>
    </w:r>
    <w:r w:rsidRPr="00666D8E">
      <w:rPr>
        <w:sz w:val="18"/>
        <w:szCs w:val="20"/>
      </w:rPr>
      <w:t>http://www.pparnumaa.ee</w:t>
    </w:r>
    <w:r>
      <w:rPr>
        <w:sz w:val="18"/>
        <w:szCs w:val="20"/>
      </w:rPr>
      <w:t xml:space="preserve"> </w:t>
    </w:r>
    <w:r w:rsidR="009A142C">
      <w:rPr>
        <w:sz w:val="18"/>
        <w:szCs w:val="20"/>
      </w:rPr>
      <w:t>/ registrikood 77000234</w:t>
    </w:r>
    <w:r w:rsidR="00143FE1">
      <w:rPr>
        <w:sz w:val="18"/>
        <w:szCs w:val="20"/>
      </w:rPr>
      <w:t xml:space="preserve"> / </w:t>
    </w:r>
    <w:r w:rsidR="00143FE1" w:rsidRPr="00143FE1">
      <w:rPr>
        <w:sz w:val="18"/>
        <w:szCs w:val="18"/>
      </w:rPr>
      <w:t>SEB pank EE111010220267487223, Swedbank EE162200221068426764</w:t>
    </w:r>
  </w:p>
  <w:p w14:paraId="2AF5B504" w14:textId="77777777" w:rsidR="006D0C83" w:rsidRPr="00B15CF3" w:rsidRDefault="006D0C83" w:rsidP="00D8291C">
    <w:pPr>
      <w:pStyle w:val="Footer"/>
      <w:tabs>
        <w:tab w:val="clear" w:pos="4536"/>
        <w:tab w:val="clear" w:pos="9072"/>
        <w:tab w:val="left" w:pos="3060"/>
        <w:tab w:val="left" w:pos="3960"/>
        <w:tab w:val="left" w:pos="6300"/>
      </w:tabs>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71D1" w14:textId="77777777" w:rsidR="00F365ED" w:rsidRDefault="00F365ED">
      <w:r>
        <w:separator/>
      </w:r>
    </w:p>
  </w:footnote>
  <w:footnote w:type="continuationSeparator" w:id="0">
    <w:p w14:paraId="66586893" w14:textId="77777777" w:rsidR="00F365ED" w:rsidRDefault="00F3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9C50" w14:textId="77777777" w:rsidR="00B15CF3" w:rsidRDefault="006863E2">
    <w:r>
      <w:rPr>
        <w:noProof/>
        <w:lang w:eastAsia="et-EE"/>
      </w:rPr>
      <mc:AlternateContent>
        <mc:Choice Requires="wps">
          <w:drawing>
            <wp:anchor distT="0" distB="0" distL="114300" distR="114300" simplePos="0" relativeHeight="251657728" behindDoc="0" locked="1" layoutInCell="1" allowOverlap="1" wp14:anchorId="437F386F" wp14:editId="02A4C9AD">
              <wp:simplePos x="0" y="0"/>
              <wp:positionH relativeFrom="page">
                <wp:posOffset>4281170</wp:posOffset>
              </wp:positionH>
              <wp:positionV relativeFrom="page">
                <wp:posOffset>356235</wp:posOffset>
              </wp:positionV>
              <wp:extent cx="2971800" cy="1028700"/>
              <wp:effectExtent l="444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86E7" w14:textId="5DBBBFAD" w:rsidR="00792845" w:rsidRPr="00406489" w:rsidRDefault="00792845" w:rsidP="00792845">
                          <w:pPr>
                            <w:jc w:val="right"/>
                            <w:rPr>
                              <w:sz w:val="20"/>
                              <w:szCs w:val="20"/>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F386F" id="_x0000_t202" coordsize="21600,21600" o:spt="202" path="m,l,21600r21600,l21600,xe">
              <v:stroke joinstyle="miter"/>
              <v:path gradientshapeok="t" o:connecttype="rect"/>
            </v:shapetype>
            <v:shape id="Text Box 1" o:spid="_x0000_s1026" type="#_x0000_t202" style="position:absolute;margin-left:337.1pt;margin-top:28.05pt;width:234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" filled="f" stroked="f">
              <v:textbox>
                <w:txbxContent>
                  <w:p w14:paraId="522D86E7" w14:textId="5DBBBFAD" w:rsidR="00792845" w:rsidRPr="00406489" w:rsidRDefault="00792845" w:rsidP="00792845">
                    <w:pPr>
                      <w:jc w:val="right"/>
                      <w:rPr>
                        <w:sz w:val="20"/>
                        <w:szCs w:val="20"/>
                        <w:lang w:val="fi-FI"/>
                      </w:rPr>
                    </w:pPr>
                  </w:p>
                </w:txbxContent>
              </v:textbox>
              <w10:wrap anchorx="page" anchory="page"/>
              <w10:anchorlock/>
            </v:shape>
          </w:pict>
        </mc:Fallback>
      </mc:AlternateContent>
    </w:r>
  </w:p>
  <w:tbl>
    <w:tblPr>
      <w:tblW w:w="8782" w:type="dxa"/>
      <w:tblInd w:w="-1026" w:type="dxa"/>
      <w:tblLayout w:type="fixed"/>
      <w:tblLook w:val="04A0" w:firstRow="1" w:lastRow="0" w:firstColumn="1" w:lastColumn="0" w:noHBand="0" w:noVBand="1"/>
    </w:tblPr>
    <w:tblGrid>
      <w:gridCol w:w="1134"/>
      <w:gridCol w:w="7648"/>
    </w:tblGrid>
    <w:tr w:rsidR="006804B8" w:rsidRPr="0059328A" w14:paraId="6D2538E8" w14:textId="77777777" w:rsidTr="0059328A">
      <w:tc>
        <w:tcPr>
          <w:tcW w:w="1134" w:type="dxa"/>
          <w:vAlign w:val="center"/>
        </w:tcPr>
        <w:p w14:paraId="65EB6FF1" w14:textId="77777777" w:rsidR="006804B8" w:rsidRPr="0059328A" w:rsidRDefault="006863E2" w:rsidP="006804B8">
          <w:pPr>
            <w:pStyle w:val="Header"/>
            <w:rPr>
              <w:rFonts w:ascii="Tahoma" w:hAnsi="Tahoma" w:cs="Tahoma"/>
              <w:smallCaps/>
            </w:rPr>
          </w:pPr>
          <w:r>
            <w:rPr>
              <w:rFonts w:ascii="Tahoma" w:hAnsi="Tahoma" w:cs="Tahoma"/>
              <w:smallCaps/>
              <w:noProof/>
              <w:lang w:eastAsia="et-EE"/>
            </w:rPr>
            <w:drawing>
              <wp:inline distT="0" distB="0" distL="0" distR="0" wp14:anchorId="06D9B30A" wp14:editId="68B63B28">
                <wp:extent cx="504825" cy="638175"/>
                <wp:effectExtent l="0" t="0" r="0" b="0"/>
                <wp:docPr id="1" name="Picture 1" descr="vap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c>
        <w:tcPr>
          <w:tcW w:w="7648" w:type="dxa"/>
          <w:tcMar>
            <w:left w:w="0" w:type="dxa"/>
            <w:right w:w="0" w:type="dxa"/>
          </w:tcMar>
          <w:vAlign w:val="center"/>
        </w:tcPr>
        <w:p w14:paraId="14326A50" w14:textId="77777777" w:rsidR="006804B8" w:rsidRPr="005E71BC" w:rsidRDefault="004C6BA0" w:rsidP="004C6BA0">
          <w:pPr>
            <w:pStyle w:val="Header"/>
            <w:rPr>
              <w:rFonts w:ascii="Arial" w:hAnsi="Arial" w:cs="Arial"/>
              <w:b/>
              <w:sz w:val="28"/>
              <w:szCs w:val="28"/>
            </w:rPr>
          </w:pPr>
          <w:r>
            <w:rPr>
              <w:rFonts w:ascii="Arial" w:hAnsi="Arial" w:cs="Arial"/>
              <w:b/>
              <w:smallCaps/>
              <w:sz w:val="28"/>
              <w:szCs w:val="28"/>
            </w:rPr>
            <w:t>Põhja-Pärnumaa</w:t>
          </w:r>
          <w:r w:rsidR="006804B8" w:rsidRPr="005E71BC">
            <w:rPr>
              <w:rFonts w:ascii="Arial" w:hAnsi="Arial" w:cs="Arial"/>
              <w:b/>
              <w:smallCaps/>
              <w:sz w:val="28"/>
              <w:szCs w:val="28"/>
            </w:rPr>
            <w:t xml:space="preserve"> vallavalitsus</w:t>
          </w:r>
        </w:p>
      </w:tc>
    </w:tr>
  </w:tbl>
  <w:p w14:paraId="4804FED0" w14:textId="77777777" w:rsidR="006D0C83" w:rsidRPr="00B15CF3" w:rsidRDefault="006D0C83" w:rsidP="006804B8">
    <w:pPr>
      <w:pStyle w:val="Head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43A"/>
    <w:multiLevelType w:val="hybridMultilevel"/>
    <w:tmpl w:val="8716D7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BB7B9A"/>
    <w:multiLevelType w:val="hybridMultilevel"/>
    <w:tmpl w:val="0A5606BC"/>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9C94D77"/>
    <w:multiLevelType w:val="hybridMultilevel"/>
    <w:tmpl w:val="14F8E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701F3"/>
    <w:multiLevelType w:val="hybridMultilevel"/>
    <w:tmpl w:val="602CE79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2E4462"/>
    <w:multiLevelType w:val="hybridMultilevel"/>
    <w:tmpl w:val="FBD853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2DD04C9"/>
    <w:multiLevelType w:val="hybridMultilevel"/>
    <w:tmpl w:val="A91282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C13BB5"/>
    <w:multiLevelType w:val="hybridMultilevel"/>
    <w:tmpl w:val="A6A0FA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A40EE4"/>
    <w:multiLevelType w:val="hybridMultilevel"/>
    <w:tmpl w:val="06040E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FAB0F79"/>
    <w:multiLevelType w:val="hybridMultilevel"/>
    <w:tmpl w:val="CEBCB0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5C40A43"/>
    <w:multiLevelType w:val="hybridMultilevel"/>
    <w:tmpl w:val="84A8AD2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5EF36E11"/>
    <w:multiLevelType w:val="hybridMultilevel"/>
    <w:tmpl w:val="F020BE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35F0647"/>
    <w:multiLevelType w:val="hybridMultilevel"/>
    <w:tmpl w:val="34D644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4B22D30"/>
    <w:multiLevelType w:val="hybridMultilevel"/>
    <w:tmpl w:val="B2A63B9C"/>
    <w:lvl w:ilvl="0" w:tplc="4342B6C6">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1B5717"/>
    <w:multiLevelType w:val="multilevel"/>
    <w:tmpl w:val="C30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52F7A"/>
    <w:multiLevelType w:val="hybridMultilevel"/>
    <w:tmpl w:val="94DA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1254973">
    <w:abstractNumId w:val="3"/>
  </w:num>
  <w:num w:numId="2" w16cid:durableId="153642140">
    <w:abstractNumId w:val="1"/>
  </w:num>
  <w:num w:numId="3" w16cid:durableId="1792288564">
    <w:abstractNumId w:val="14"/>
  </w:num>
  <w:num w:numId="4" w16cid:durableId="1918205497">
    <w:abstractNumId w:val="2"/>
  </w:num>
  <w:num w:numId="5" w16cid:durableId="90246897">
    <w:abstractNumId w:val="4"/>
  </w:num>
  <w:num w:numId="6" w16cid:durableId="589240449">
    <w:abstractNumId w:val="8"/>
  </w:num>
  <w:num w:numId="7" w16cid:durableId="502086992">
    <w:abstractNumId w:val="9"/>
  </w:num>
  <w:num w:numId="8" w16cid:durableId="478116236">
    <w:abstractNumId w:val="5"/>
  </w:num>
  <w:num w:numId="9" w16cid:durableId="1231504516">
    <w:abstractNumId w:val="0"/>
  </w:num>
  <w:num w:numId="10" w16cid:durableId="1053693212">
    <w:abstractNumId w:val="10"/>
  </w:num>
  <w:num w:numId="11" w16cid:durableId="1376152580">
    <w:abstractNumId w:val="11"/>
  </w:num>
  <w:num w:numId="12" w16cid:durableId="973102017">
    <w:abstractNumId w:val="7"/>
  </w:num>
  <w:num w:numId="13" w16cid:durableId="165561816">
    <w:abstractNumId w:val="6"/>
  </w:num>
  <w:num w:numId="14" w16cid:durableId="570652462">
    <w:abstractNumId w:val="12"/>
  </w:num>
  <w:num w:numId="15" w16cid:durableId="1805005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3D"/>
    <w:rsid w:val="000045AB"/>
    <w:rsid w:val="000132CD"/>
    <w:rsid w:val="0001422B"/>
    <w:rsid w:val="00022ED3"/>
    <w:rsid w:val="000325F9"/>
    <w:rsid w:val="00046CBB"/>
    <w:rsid w:val="00065F0B"/>
    <w:rsid w:val="0007091A"/>
    <w:rsid w:val="0008412D"/>
    <w:rsid w:val="000870C6"/>
    <w:rsid w:val="00087653"/>
    <w:rsid w:val="00091B82"/>
    <w:rsid w:val="000B1C06"/>
    <w:rsid w:val="000B6A21"/>
    <w:rsid w:val="000C5B3C"/>
    <w:rsid w:val="000C6941"/>
    <w:rsid w:val="000E41F5"/>
    <w:rsid w:val="000F65DF"/>
    <w:rsid w:val="0011627B"/>
    <w:rsid w:val="00121786"/>
    <w:rsid w:val="001353B8"/>
    <w:rsid w:val="00143FE1"/>
    <w:rsid w:val="001719ED"/>
    <w:rsid w:val="001763E9"/>
    <w:rsid w:val="00186449"/>
    <w:rsid w:val="00195A61"/>
    <w:rsid w:val="001B7490"/>
    <w:rsid w:val="001C4642"/>
    <w:rsid w:val="001F7658"/>
    <w:rsid w:val="002044CE"/>
    <w:rsid w:val="00205DCA"/>
    <w:rsid w:val="00211A5E"/>
    <w:rsid w:val="00214A46"/>
    <w:rsid w:val="002266F5"/>
    <w:rsid w:val="00232B2E"/>
    <w:rsid w:val="00233082"/>
    <w:rsid w:val="00241F22"/>
    <w:rsid w:val="00242C0E"/>
    <w:rsid w:val="00251479"/>
    <w:rsid w:val="002737C4"/>
    <w:rsid w:val="002864F2"/>
    <w:rsid w:val="002907F4"/>
    <w:rsid w:val="002A56BF"/>
    <w:rsid w:val="002B0F6B"/>
    <w:rsid w:val="002C0E6B"/>
    <w:rsid w:val="002C2ECE"/>
    <w:rsid w:val="002C4097"/>
    <w:rsid w:val="002C6F78"/>
    <w:rsid w:val="002D156F"/>
    <w:rsid w:val="002D3993"/>
    <w:rsid w:val="002D5C99"/>
    <w:rsid w:val="002E003D"/>
    <w:rsid w:val="002E31AA"/>
    <w:rsid w:val="002E57BA"/>
    <w:rsid w:val="002F0784"/>
    <w:rsid w:val="002F1AA3"/>
    <w:rsid w:val="00302CA4"/>
    <w:rsid w:val="00302E0A"/>
    <w:rsid w:val="0030694F"/>
    <w:rsid w:val="0031338F"/>
    <w:rsid w:val="00321FAB"/>
    <w:rsid w:val="0032736A"/>
    <w:rsid w:val="003443E2"/>
    <w:rsid w:val="00345A62"/>
    <w:rsid w:val="00346658"/>
    <w:rsid w:val="00351A0A"/>
    <w:rsid w:val="00352C7A"/>
    <w:rsid w:val="00361BEA"/>
    <w:rsid w:val="00363CBD"/>
    <w:rsid w:val="00364E55"/>
    <w:rsid w:val="00366071"/>
    <w:rsid w:val="00366594"/>
    <w:rsid w:val="0036709B"/>
    <w:rsid w:val="00372AC3"/>
    <w:rsid w:val="003742BF"/>
    <w:rsid w:val="0038298B"/>
    <w:rsid w:val="003A0340"/>
    <w:rsid w:val="003A1759"/>
    <w:rsid w:val="003A71F4"/>
    <w:rsid w:val="003C054E"/>
    <w:rsid w:val="003C1004"/>
    <w:rsid w:val="003C7B13"/>
    <w:rsid w:val="003C7CBD"/>
    <w:rsid w:val="003D3F76"/>
    <w:rsid w:val="003D5E41"/>
    <w:rsid w:val="003D7C88"/>
    <w:rsid w:val="003E365A"/>
    <w:rsid w:val="003E7B72"/>
    <w:rsid w:val="003F326C"/>
    <w:rsid w:val="0040258E"/>
    <w:rsid w:val="00406489"/>
    <w:rsid w:val="004134C6"/>
    <w:rsid w:val="00424260"/>
    <w:rsid w:val="00425E21"/>
    <w:rsid w:val="0042734A"/>
    <w:rsid w:val="004313C5"/>
    <w:rsid w:val="00432BEB"/>
    <w:rsid w:val="00433173"/>
    <w:rsid w:val="00434389"/>
    <w:rsid w:val="00435AF0"/>
    <w:rsid w:val="00443432"/>
    <w:rsid w:val="00445F1C"/>
    <w:rsid w:val="00447A3F"/>
    <w:rsid w:val="004601B2"/>
    <w:rsid w:val="004606F4"/>
    <w:rsid w:val="00471A4B"/>
    <w:rsid w:val="00471CBE"/>
    <w:rsid w:val="004735D3"/>
    <w:rsid w:val="00477B61"/>
    <w:rsid w:val="00487777"/>
    <w:rsid w:val="004A2708"/>
    <w:rsid w:val="004B0C24"/>
    <w:rsid w:val="004C42E9"/>
    <w:rsid w:val="004C6BA0"/>
    <w:rsid w:val="004D1899"/>
    <w:rsid w:val="004D4B27"/>
    <w:rsid w:val="004E41E5"/>
    <w:rsid w:val="004E4D4C"/>
    <w:rsid w:val="00500F42"/>
    <w:rsid w:val="00503D29"/>
    <w:rsid w:val="00512327"/>
    <w:rsid w:val="00521253"/>
    <w:rsid w:val="00522F27"/>
    <w:rsid w:val="00526790"/>
    <w:rsid w:val="005443AB"/>
    <w:rsid w:val="005476A7"/>
    <w:rsid w:val="00552A40"/>
    <w:rsid w:val="0056090E"/>
    <w:rsid w:val="00565661"/>
    <w:rsid w:val="00577DF0"/>
    <w:rsid w:val="005851C3"/>
    <w:rsid w:val="00587464"/>
    <w:rsid w:val="0059153F"/>
    <w:rsid w:val="0059328A"/>
    <w:rsid w:val="00597021"/>
    <w:rsid w:val="005A4F22"/>
    <w:rsid w:val="005B357C"/>
    <w:rsid w:val="005B7381"/>
    <w:rsid w:val="005D44B7"/>
    <w:rsid w:val="005D6C77"/>
    <w:rsid w:val="005E5A3A"/>
    <w:rsid w:val="005E71BC"/>
    <w:rsid w:val="005F1BD6"/>
    <w:rsid w:val="005F7943"/>
    <w:rsid w:val="006008EE"/>
    <w:rsid w:val="00602685"/>
    <w:rsid w:val="00607EBE"/>
    <w:rsid w:val="00611E81"/>
    <w:rsid w:val="00647368"/>
    <w:rsid w:val="00650A24"/>
    <w:rsid w:val="00663589"/>
    <w:rsid w:val="006804B8"/>
    <w:rsid w:val="006863E2"/>
    <w:rsid w:val="006A5B7E"/>
    <w:rsid w:val="006D0C83"/>
    <w:rsid w:val="006D69D7"/>
    <w:rsid w:val="006D745E"/>
    <w:rsid w:val="006E45B6"/>
    <w:rsid w:val="006F5384"/>
    <w:rsid w:val="00700C5A"/>
    <w:rsid w:val="0070773E"/>
    <w:rsid w:val="0071182E"/>
    <w:rsid w:val="0071252E"/>
    <w:rsid w:val="0072283C"/>
    <w:rsid w:val="00730C6F"/>
    <w:rsid w:val="007421DD"/>
    <w:rsid w:val="00750E46"/>
    <w:rsid w:val="0076758A"/>
    <w:rsid w:val="00771A76"/>
    <w:rsid w:val="00787BE4"/>
    <w:rsid w:val="00792845"/>
    <w:rsid w:val="007956C6"/>
    <w:rsid w:val="007A2C8C"/>
    <w:rsid w:val="007A64E4"/>
    <w:rsid w:val="007B1EBE"/>
    <w:rsid w:val="007C3568"/>
    <w:rsid w:val="007C4764"/>
    <w:rsid w:val="007C76C1"/>
    <w:rsid w:val="007D2D43"/>
    <w:rsid w:val="007E7CD7"/>
    <w:rsid w:val="00805333"/>
    <w:rsid w:val="00805C95"/>
    <w:rsid w:val="00816478"/>
    <w:rsid w:val="008206D0"/>
    <w:rsid w:val="008340D7"/>
    <w:rsid w:val="008402C0"/>
    <w:rsid w:val="008518A0"/>
    <w:rsid w:val="00864C66"/>
    <w:rsid w:val="0086620A"/>
    <w:rsid w:val="00880494"/>
    <w:rsid w:val="008845D2"/>
    <w:rsid w:val="00887589"/>
    <w:rsid w:val="00890717"/>
    <w:rsid w:val="0089368A"/>
    <w:rsid w:val="00896085"/>
    <w:rsid w:val="008A1DA7"/>
    <w:rsid w:val="008B038A"/>
    <w:rsid w:val="008B3886"/>
    <w:rsid w:val="008C036A"/>
    <w:rsid w:val="008C084A"/>
    <w:rsid w:val="008D16AD"/>
    <w:rsid w:val="008E3368"/>
    <w:rsid w:val="008E3B22"/>
    <w:rsid w:val="008E7664"/>
    <w:rsid w:val="008F428C"/>
    <w:rsid w:val="008F6994"/>
    <w:rsid w:val="00912587"/>
    <w:rsid w:val="00912F03"/>
    <w:rsid w:val="00926F14"/>
    <w:rsid w:val="0093403F"/>
    <w:rsid w:val="009351F8"/>
    <w:rsid w:val="0093571A"/>
    <w:rsid w:val="0094015F"/>
    <w:rsid w:val="00956A14"/>
    <w:rsid w:val="00966F3D"/>
    <w:rsid w:val="00966F87"/>
    <w:rsid w:val="009760D2"/>
    <w:rsid w:val="00996C66"/>
    <w:rsid w:val="009972CF"/>
    <w:rsid w:val="009A142C"/>
    <w:rsid w:val="009B1D13"/>
    <w:rsid w:val="009B5112"/>
    <w:rsid w:val="009B55D1"/>
    <w:rsid w:val="009C4BCC"/>
    <w:rsid w:val="009E6EE4"/>
    <w:rsid w:val="009F2329"/>
    <w:rsid w:val="009F5119"/>
    <w:rsid w:val="00A12251"/>
    <w:rsid w:val="00A14ED4"/>
    <w:rsid w:val="00A62B55"/>
    <w:rsid w:val="00A71DD0"/>
    <w:rsid w:val="00A83471"/>
    <w:rsid w:val="00A90A36"/>
    <w:rsid w:val="00A968FF"/>
    <w:rsid w:val="00AA2A42"/>
    <w:rsid w:val="00AA32C2"/>
    <w:rsid w:val="00AA4DEE"/>
    <w:rsid w:val="00AB6E03"/>
    <w:rsid w:val="00AB71A1"/>
    <w:rsid w:val="00AC0C03"/>
    <w:rsid w:val="00AC1D4E"/>
    <w:rsid w:val="00AE43A3"/>
    <w:rsid w:val="00AE4876"/>
    <w:rsid w:val="00AF3351"/>
    <w:rsid w:val="00AF3E05"/>
    <w:rsid w:val="00AF456E"/>
    <w:rsid w:val="00AF4911"/>
    <w:rsid w:val="00B01252"/>
    <w:rsid w:val="00B06703"/>
    <w:rsid w:val="00B150A8"/>
    <w:rsid w:val="00B15CF3"/>
    <w:rsid w:val="00B244A5"/>
    <w:rsid w:val="00B25722"/>
    <w:rsid w:val="00B2666E"/>
    <w:rsid w:val="00B27437"/>
    <w:rsid w:val="00B32863"/>
    <w:rsid w:val="00B60AC6"/>
    <w:rsid w:val="00B71540"/>
    <w:rsid w:val="00B91EAF"/>
    <w:rsid w:val="00B955A1"/>
    <w:rsid w:val="00B97FBE"/>
    <w:rsid w:val="00BA303B"/>
    <w:rsid w:val="00BA770E"/>
    <w:rsid w:val="00BB49C0"/>
    <w:rsid w:val="00BB4B88"/>
    <w:rsid w:val="00BC0AE8"/>
    <w:rsid w:val="00BC352F"/>
    <w:rsid w:val="00BC386B"/>
    <w:rsid w:val="00BD7A4A"/>
    <w:rsid w:val="00BE581B"/>
    <w:rsid w:val="00C00D2C"/>
    <w:rsid w:val="00C00ED9"/>
    <w:rsid w:val="00C14F3A"/>
    <w:rsid w:val="00C14FB0"/>
    <w:rsid w:val="00C267C7"/>
    <w:rsid w:val="00C27C31"/>
    <w:rsid w:val="00C315A6"/>
    <w:rsid w:val="00C4094C"/>
    <w:rsid w:val="00C43AB5"/>
    <w:rsid w:val="00C5605A"/>
    <w:rsid w:val="00C57E61"/>
    <w:rsid w:val="00C61400"/>
    <w:rsid w:val="00C6233E"/>
    <w:rsid w:val="00C75C52"/>
    <w:rsid w:val="00C76A0A"/>
    <w:rsid w:val="00C83466"/>
    <w:rsid w:val="00C85899"/>
    <w:rsid w:val="00C92F58"/>
    <w:rsid w:val="00CA0736"/>
    <w:rsid w:val="00CA58D8"/>
    <w:rsid w:val="00CA745F"/>
    <w:rsid w:val="00CB3F77"/>
    <w:rsid w:val="00CD0EE5"/>
    <w:rsid w:val="00CE02CD"/>
    <w:rsid w:val="00CE0E47"/>
    <w:rsid w:val="00CE1211"/>
    <w:rsid w:val="00CF0D73"/>
    <w:rsid w:val="00D031BA"/>
    <w:rsid w:val="00D108E2"/>
    <w:rsid w:val="00D30944"/>
    <w:rsid w:val="00D41F70"/>
    <w:rsid w:val="00D67C67"/>
    <w:rsid w:val="00D73F0D"/>
    <w:rsid w:val="00D74F43"/>
    <w:rsid w:val="00D812E6"/>
    <w:rsid w:val="00D81B97"/>
    <w:rsid w:val="00D8231D"/>
    <w:rsid w:val="00D8291C"/>
    <w:rsid w:val="00D83A4F"/>
    <w:rsid w:val="00D92209"/>
    <w:rsid w:val="00DC4D9C"/>
    <w:rsid w:val="00DD14B7"/>
    <w:rsid w:val="00DD24FF"/>
    <w:rsid w:val="00DE793A"/>
    <w:rsid w:val="00DF4044"/>
    <w:rsid w:val="00E00847"/>
    <w:rsid w:val="00E26B45"/>
    <w:rsid w:val="00E83A43"/>
    <w:rsid w:val="00E92E55"/>
    <w:rsid w:val="00E97029"/>
    <w:rsid w:val="00EA2931"/>
    <w:rsid w:val="00EA6E4A"/>
    <w:rsid w:val="00EB7105"/>
    <w:rsid w:val="00ED4F1C"/>
    <w:rsid w:val="00ED59D8"/>
    <w:rsid w:val="00ED6E22"/>
    <w:rsid w:val="00ED791B"/>
    <w:rsid w:val="00EE1F41"/>
    <w:rsid w:val="00EE7215"/>
    <w:rsid w:val="00EF62DF"/>
    <w:rsid w:val="00F03502"/>
    <w:rsid w:val="00F13F6E"/>
    <w:rsid w:val="00F21276"/>
    <w:rsid w:val="00F2421A"/>
    <w:rsid w:val="00F3077A"/>
    <w:rsid w:val="00F3414C"/>
    <w:rsid w:val="00F35C42"/>
    <w:rsid w:val="00F365ED"/>
    <w:rsid w:val="00F538BD"/>
    <w:rsid w:val="00F6423D"/>
    <w:rsid w:val="00F65A5C"/>
    <w:rsid w:val="00F6694E"/>
    <w:rsid w:val="00F7461F"/>
    <w:rsid w:val="00F746AC"/>
    <w:rsid w:val="00F7572F"/>
    <w:rsid w:val="00F83646"/>
    <w:rsid w:val="00F907E9"/>
    <w:rsid w:val="00FA2903"/>
    <w:rsid w:val="00FA310C"/>
    <w:rsid w:val="00FA6059"/>
    <w:rsid w:val="00FA78BB"/>
    <w:rsid w:val="00FB2F6B"/>
    <w:rsid w:val="00FB5E30"/>
    <w:rsid w:val="00FB678A"/>
    <w:rsid w:val="00FC4711"/>
    <w:rsid w:val="00FC4743"/>
    <w:rsid w:val="00FC7CFC"/>
    <w:rsid w:val="00FE0F86"/>
    <w:rsid w:val="00FE1337"/>
    <w:rsid w:val="00FE234E"/>
    <w:rsid w:val="00FF7BA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8995D"/>
  <w15:chartTrackingRefBased/>
  <w15:docId w15:val="{621E7797-377A-445A-A4D3-D3FB4726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A3F"/>
    <w:rPr>
      <w:rFonts w:eastAsia="Calibri"/>
      <w:sz w:val="24"/>
      <w:szCs w:val="24"/>
      <w:lang w:eastAsia="en-US"/>
    </w:rPr>
  </w:style>
  <w:style w:type="paragraph" w:styleId="Heading1">
    <w:name w:val="heading 1"/>
    <w:basedOn w:val="Normal"/>
    <w:next w:val="Normal"/>
    <w:qFormat/>
    <w:rsid w:val="0089368A"/>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BEB"/>
    <w:pPr>
      <w:tabs>
        <w:tab w:val="center" w:pos="4536"/>
        <w:tab w:val="right" w:pos="9072"/>
      </w:tabs>
    </w:pPr>
  </w:style>
  <w:style w:type="paragraph" w:styleId="Footer">
    <w:name w:val="footer"/>
    <w:basedOn w:val="Normal"/>
    <w:link w:val="FooterChar"/>
    <w:rsid w:val="00432BEB"/>
    <w:pPr>
      <w:tabs>
        <w:tab w:val="center" w:pos="4536"/>
        <w:tab w:val="right" w:pos="9072"/>
      </w:tabs>
    </w:pPr>
  </w:style>
  <w:style w:type="character" w:styleId="Hyperlink">
    <w:name w:val="Hyperlink"/>
    <w:rsid w:val="00432BEB"/>
    <w:rPr>
      <w:color w:val="0000FF"/>
      <w:u w:val="single"/>
    </w:rPr>
  </w:style>
  <w:style w:type="character" w:customStyle="1" w:styleId="skypepnhtextspan">
    <w:name w:val="skype_pnh_text_span"/>
    <w:basedOn w:val="DefaultParagraphFont"/>
    <w:rsid w:val="002864F2"/>
  </w:style>
  <w:style w:type="character" w:customStyle="1" w:styleId="skypepnhrightspan">
    <w:name w:val="skype_pnh_right_span"/>
    <w:basedOn w:val="DefaultParagraphFont"/>
    <w:rsid w:val="002864F2"/>
  </w:style>
  <w:style w:type="paragraph" w:styleId="NormalWeb">
    <w:name w:val="Normal (Web)"/>
    <w:basedOn w:val="Normal"/>
    <w:rsid w:val="00B06703"/>
    <w:pPr>
      <w:spacing w:before="100" w:beforeAutospacing="1" w:after="119"/>
    </w:pPr>
    <w:rPr>
      <w:rFonts w:eastAsia="Times New Roman"/>
      <w:lang w:val="en-US"/>
    </w:rPr>
  </w:style>
  <w:style w:type="paragraph" w:styleId="BodyText">
    <w:name w:val="Body Text"/>
    <w:basedOn w:val="Normal"/>
    <w:link w:val="BodyTextChar"/>
    <w:rsid w:val="00B91EAF"/>
    <w:pPr>
      <w:spacing w:after="120" w:line="276" w:lineRule="auto"/>
    </w:pPr>
    <w:rPr>
      <w:rFonts w:ascii="Calibri" w:eastAsia="Times New Roman" w:hAnsi="Calibri"/>
      <w:sz w:val="22"/>
      <w:szCs w:val="22"/>
    </w:rPr>
  </w:style>
  <w:style w:type="character" w:customStyle="1" w:styleId="BodyTextChar">
    <w:name w:val="Body Text Char"/>
    <w:link w:val="BodyText"/>
    <w:semiHidden/>
    <w:locked/>
    <w:rsid w:val="00B91EAF"/>
    <w:rPr>
      <w:rFonts w:ascii="Calibri" w:hAnsi="Calibri"/>
      <w:sz w:val="22"/>
      <w:szCs w:val="22"/>
      <w:lang w:val="et-EE" w:eastAsia="en-US" w:bidi="ar-SA"/>
    </w:rPr>
  </w:style>
  <w:style w:type="table" w:styleId="TableGrid">
    <w:name w:val="Table Grid"/>
    <w:basedOn w:val="TableNormal"/>
    <w:rsid w:val="006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6A0A"/>
    <w:rPr>
      <w:rFonts w:ascii="Segoe UI" w:hAnsi="Segoe UI" w:cs="Segoe UI"/>
      <w:sz w:val="18"/>
      <w:szCs w:val="18"/>
    </w:rPr>
  </w:style>
  <w:style w:type="character" w:customStyle="1" w:styleId="BalloonTextChar">
    <w:name w:val="Balloon Text Char"/>
    <w:link w:val="BalloonText"/>
    <w:rsid w:val="00C76A0A"/>
    <w:rPr>
      <w:rFonts w:ascii="Segoe UI" w:eastAsia="Calibri" w:hAnsi="Segoe UI" w:cs="Segoe UI"/>
      <w:sz w:val="18"/>
      <w:szCs w:val="18"/>
      <w:lang w:eastAsia="en-US"/>
    </w:rPr>
  </w:style>
  <w:style w:type="character" w:customStyle="1" w:styleId="FooterChar">
    <w:name w:val="Footer Char"/>
    <w:link w:val="Footer"/>
    <w:rsid w:val="004C6BA0"/>
    <w:rPr>
      <w:rFonts w:eastAsia="Calibri"/>
      <w:sz w:val="24"/>
      <w:szCs w:val="24"/>
      <w:lang w:eastAsia="en-US"/>
    </w:rPr>
  </w:style>
  <w:style w:type="paragraph" w:styleId="ListParagraph">
    <w:name w:val="List Paragraph"/>
    <w:basedOn w:val="Normal"/>
    <w:uiPriority w:val="34"/>
    <w:qFormat/>
    <w:rsid w:val="00022ED3"/>
    <w:pPr>
      <w:ind w:left="720"/>
      <w:contextualSpacing/>
    </w:pPr>
  </w:style>
  <w:style w:type="character" w:styleId="UnresolvedMention">
    <w:name w:val="Unresolved Mention"/>
    <w:basedOn w:val="DefaultParagraphFont"/>
    <w:uiPriority w:val="99"/>
    <w:semiHidden/>
    <w:unhideWhenUsed/>
    <w:rsid w:val="00F03502"/>
    <w:rPr>
      <w:color w:val="605E5C"/>
      <w:shd w:val="clear" w:color="auto" w:fill="E1DFDD"/>
    </w:rPr>
  </w:style>
  <w:style w:type="character" w:styleId="FollowedHyperlink">
    <w:name w:val="FollowedHyperlink"/>
    <w:basedOn w:val="DefaultParagraphFont"/>
    <w:rsid w:val="00647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380">
      <w:bodyDiv w:val="1"/>
      <w:marLeft w:val="0"/>
      <w:marRight w:val="0"/>
      <w:marTop w:val="0"/>
      <w:marBottom w:val="0"/>
      <w:divBdr>
        <w:top w:val="none" w:sz="0" w:space="0" w:color="auto"/>
        <w:left w:val="none" w:sz="0" w:space="0" w:color="auto"/>
        <w:bottom w:val="none" w:sz="0" w:space="0" w:color="auto"/>
        <w:right w:val="none" w:sz="0" w:space="0" w:color="auto"/>
      </w:divBdr>
    </w:div>
    <w:div w:id="248007495">
      <w:bodyDiv w:val="1"/>
      <w:marLeft w:val="0"/>
      <w:marRight w:val="0"/>
      <w:marTop w:val="0"/>
      <w:marBottom w:val="0"/>
      <w:divBdr>
        <w:top w:val="none" w:sz="0" w:space="0" w:color="auto"/>
        <w:left w:val="none" w:sz="0" w:space="0" w:color="auto"/>
        <w:bottom w:val="none" w:sz="0" w:space="0" w:color="auto"/>
        <w:right w:val="none" w:sz="0" w:space="0" w:color="auto"/>
      </w:divBdr>
    </w:div>
    <w:div w:id="351611387">
      <w:bodyDiv w:val="1"/>
      <w:marLeft w:val="0"/>
      <w:marRight w:val="0"/>
      <w:marTop w:val="0"/>
      <w:marBottom w:val="0"/>
      <w:divBdr>
        <w:top w:val="none" w:sz="0" w:space="0" w:color="auto"/>
        <w:left w:val="none" w:sz="0" w:space="0" w:color="auto"/>
        <w:bottom w:val="none" w:sz="0" w:space="0" w:color="auto"/>
        <w:right w:val="none" w:sz="0" w:space="0" w:color="auto"/>
      </w:divBdr>
    </w:div>
    <w:div w:id="388309827">
      <w:bodyDiv w:val="1"/>
      <w:marLeft w:val="0"/>
      <w:marRight w:val="0"/>
      <w:marTop w:val="0"/>
      <w:marBottom w:val="0"/>
      <w:divBdr>
        <w:top w:val="none" w:sz="0" w:space="0" w:color="auto"/>
        <w:left w:val="none" w:sz="0" w:space="0" w:color="auto"/>
        <w:bottom w:val="none" w:sz="0" w:space="0" w:color="auto"/>
        <w:right w:val="none" w:sz="0" w:space="0" w:color="auto"/>
      </w:divBdr>
    </w:div>
    <w:div w:id="467625419">
      <w:bodyDiv w:val="1"/>
      <w:marLeft w:val="0"/>
      <w:marRight w:val="0"/>
      <w:marTop w:val="0"/>
      <w:marBottom w:val="0"/>
      <w:divBdr>
        <w:top w:val="none" w:sz="0" w:space="0" w:color="auto"/>
        <w:left w:val="none" w:sz="0" w:space="0" w:color="auto"/>
        <w:bottom w:val="none" w:sz="0" w:space="0" w:color="auto"/>
        <w:right w:val="none" w:sz="0" w:space="0" w:color="auto"/>
      </w:divBdr>
    </w:div>
    <w:div w:id="1054308797">
      <w:bodyDiv w:val="1"/>
      <w:marLeft w:val="0"/>
      <w:marRight w:val="0"/>
      <w:marTop w:val="0"/>
      <w:marBottom w:val="0"/>
      <w:divBdr>
        <w:top w:val="none" w:sz="0" w:space="0" w:color="auto"/>
        <w:left w:val="none" w:sz="0" w:space="0" w:color="auto"/>
        <w:bottom w:val="none" w:sz="0" w:space="0" w:color="auto"/>
        <w:right w:val="none" w:sz="0" w:space="0" w:color="auto"/>
      </w:divBdr>
    </w:div>
    <w:div w:id="1163395315">
      <w:bodyDiv w:val="1"/>
      <w:marLeft w:val="0"/>
      <w:marRight w:val="0"/>
      <w:marTop w:val="0"/>
      <w:marBottom w:val="0"/>
      <w:divBdr>
        <w:top w:val="none" w:sz="0" w:space="0" w:color="auto"/>
        <w:left w:val="none" w:sz="0" w:space="0" w:color="auto"/>
        <w:bottom w:val="none" w:sz="0" w:space="0" w:color="auto"/>
        <w:right w:val="none" w:sz="0" w:space="0" w:color="auto"/>
      </w:divBdr>
    </w:div>
    <w:div w:id="16840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iigihanked.riik.ee/rhr-w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li.karits\Desktop\Vallavalitsuse%20kirjap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Vallavalitsuse kirjaplank</Template>
  <TotalTime>1</TotalTime>
  <Pages>4</Pages>
  <Words>1451</Words>
  <Characters>8416</Characters>
  <Application>Microsoft Office Word</Application>
  <DocSecurity>0</DocSecurity>
  <Lines>70</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kylli.r</dc:creator>
  <cp:keywords/>
  <dc:description/>
  <cp:lastModifiedBy>Birjo Piiroja</cp:lastModifiedBy>
  <cp:revision>2</cp:revision>
  <cp:lastPrinted>2025-03-11T10:39:00Z</cp:lastPrinted>
  <dcterms:created xsi:type="dcterms:W3CDTF">2025-10-31T12:18:00Z</dcterms:created>
  <dcterms:modified xsi:type="dcterms:W3CDTF">2025-10-31T12:18:00Z</dcterms:modified>
</cp:coreProperties>
</file>